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D8" w:rsidRDefault="00B418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18D8" w:rsidRDefault="00B418D8">
      <w:pPr>
        <w:pStyle w:val="ConsPlusNormal"/>
        <w:jc w:val="both"/>
        <w:outlineLvl w:val="0"/>
      </w:pPr>
    </w:p>
    <w:p w:rsidR="00B418D8" w:rsidRDefault="00B418D8">
      <w:pPr>
        <w:pStyle w:val="ConsPlusNormal"/>
        <w:jc w:val="right"/>
        <w:outlineLvl w:val="0"/>
      </w:pPr>
      <w:r>
        <w:t>Утверждаю</w:t>
      </w:r>
    </w:p>
    <w:p w:rsidR="00B418D8" w:rsidRDefault="00B418D8">
      <w:pPr>
        <w:pStyle w:val="ConsPlusNormal"/>
        <w:jc w:val="right"/>
      </w:pPr>
      <w:r>
        <w:t>Руководитель Федеральной службы</w:t>
      </w:r>
    </w:p>
    <w:p w:rsidR="00B418D8" w:rsidRDefault="00B418D8">
      <w:pPr>
        <w:pStyle w:val="ConsPlusNormal"/>
        <w:jc w:val="right"/>
      </w:pPr>
      <w:r>
        <w:t>по надзору в сфере защиты прав</w:t>
      </w:r>
    </w:p>
    <w:p w:rsidR="00B418D8" w:rsidRDefault="00B418D8">
      <w:pPr>
        <w:pStyle w:val="ConsPlusNormal"/>
        <w:jc w:val="right"/>
      </w:pPr>
      <w:r>
        <w:t>потребителей и благополучия человека,</w:t>
      </w:r>
    </w:p>
    <w:p w:rsidR="00B418D8" w:rsidRDefault="00B418D8">
      <w:pPr>
        <w:pStyle w:val="ConsPlusNormal"/>
        <w:jc w:val="right"/>
      </w:pPr>
      <w:r>
        <w:t>Главный государственный</w:t>
      </w:r>
    </w:p>
    <w:p w:rsidR="00B418D8" w:rsidRDefault="00B418D8">
      <w:pPr>
        <w:pStyle w:val="ConsPlusNormal"/>
        <w:jc w:val="right"/>
      </w:pPr>
      <w:r>
        <w:t>санитарный врач</w:t>
      </w:r>
    </w:p>
    <w:p w:rsidR="00B418D8" w:rsidRDefault="00B418D8">
      <w:pPr>
        <w:pStyle w:val="ConsPlusNormal"/>
        <w:jc w:val="right"/>
      </w:pPr>
      <w:r>
        <w:t>Российской Федерации</w:t>
      </w:r>
    </w:p>
    <w:p w:rsidR="00B418D8" w:rsidRDefault="00B418D8">
      <w:pPr>
        <w:pStyle w:val="ConsPlusNormal"/>
        <w:jc w:val="right"/>
      </w:pPr>
      <w:r>
        <w:t>А.Ю.ПОПОВА</w:t>
      </w:r>
    </w:p>
    <w:p w:rsidR="00B418D8" w:rsidRDefault="00B418D8">
      <w:pPr>
        <w:pStyle w:val="ConsPlusNormal"/>
        <w:jc w:val="right"/>
      </w:pPr>
      <w:r>
        <w:t>15 мая 2018 г.</w:t>
      </w:r>
    </w:p>
    <w:p w:rsidR="00B418D8" w:rsidRDefault="00B418D8">
      <w:pPr>
        <w:pStyle w:val="ConsPlusNormal"/>
        <w:jc w:val="both"/>
      </w:pPr>
    </w:p>
    <w:p w:rsidR="00B418D8" w:rsidRDefault="00B418D8">
      <w:pPr>
        <w:pStyle w:val="ConsPlusTitle"/>
        <w:jc w:val="center"/>
      </w:pPr>
      <w:r>
        <w:t>2.4.5. ГИГИЕНА. ГИГИЕНА ДЕТЕЙ И ПОДРОСТКОВ. ДЕТСКОЕ ПИТАНИЕ</w:t>
      </w:r>
    </w:p>
    <w:p w:rsidR="00B418D8" w:rsidRDefault="00B418D8">
      <w:pPr>
        <w:pStyle w:val="ConsPlusTitle"/>
        <w:jc w:val="center"/>
      </w:pPr>
    </w:p>
    <w:p w:rsidR="00B418D8" w:rsidRDefault="00B418D8">
      <w:pPr>
        <w:pStyle w:val="ConsPlusTitle"/>
        <w:jc w:val="center"/>
      </w:pPr>
      <w:r>
        <w:t>ОРГАНИЗАЦИЯ</w:t>
      </w:r>
    </w:p>
    <w:p w:rsidR="00B418D8" w:rsidRDefault="00B418D8">
      <w:pPr>
        <w:pStyle w:val="ConsPlusTitle"/>
        <w:jc w:val="center"/>
      </w:pPr>
      <w:r>
        <w:t>ПИТАНИЯ ДЕТЕЙ ПРИ ПРОВЕДЕНИИ МАССОВЫХ МЕРОПРИЯТИЙ</w:t>
      </w:r>
    </w:p>
    <w:p w:rsidR="00B418D8" w:rsidRDefault="00B418D8">
      <w:pPr>
        <w:pStyle w:val="ConsPlusTitle"/>
        <w:jc w:val="center"/>
      </w:pPr>
    </w:p>
    <w:p w:rsidR="00B418D8" w:rsidRDefault="00B418D8">
      <w:pPr>
        <w:pStyle w:val="ConsPlusTitle"/>
        <w:jc w:val="center"/>
      </w:pPr>
      <w:r>
        <w:t>МЕТОДИЧЕСКИЕ РЕКОМЕНДАЦИИ</w:t>
      </w:r>
    </w:p>
    <w:p w:rsidR="00B418D8" w:rsidRDefault="00B418D8">
      <w:pPr>
        <w:pStyle w:val="ConsPlusTitle"/>
        <w:jc w:val="center"/>
      </w:pPr>
      <w:r>
        <w:t>МР 2.4.5.0128-18</w:t>
      </w:r>
    </w:p>
    <w:p w:rsidR="00B418D8" w:rsidRDefault="00B418D8">
      <w:pPr>
        <w:pStyle w:val="ConsPlusNormal"/>
        <w:jc w:val="both"/>
      </w:pPr>
    </w:p>
    <w:p w:rsidR="00B418D8" w:rsidRDefault="00B418D8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B418D8" w:rsidRDefault="00B418D8">
      <w:pPr>
        <w:pStyle w:val="ConsPlusNormal"/>
        <w:jc w:val="both"/>
      </w:pPr>
    </w:p>
    <w:p w:rsidR="00B418D8" w:rsidRDefault="00B418D8">
      <w:pPr>
        <w:pStyle w:val="ConsPlusNormal"/>
        <w:ind w:firstLine="540"/>
        <w:jc w:val="both"/>
      </w:pPr>
      <w:r>
        <w:t xml:space="preserve">1.1. Оптимальное (здоровое) питание детей является необходимым условием обеспечения их здоровья, устойчивости к воздействию инфекций и </w:t>
      </w:r>
      <w:proofErr w:type="gramStart"/>
      <w:r>
        <w:t>других неблагоприятных факторов</w:t>
      </w:r>
      <w:proofErr w:type="gramEnd"/>
      <w:r>
        <w:t xml:space="preserve"> и способности к обучению во все возрастные периоды их жизни.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Серьезной проблемой является нарушение режима питания и его несбалансированность, особенно при проведении массовых мероприятий.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У детей школьного возраста отмечается высокая частота болезней обмена веществ (в первую очередь, ожирения), анемий, заболеваний желудочно-кишечного тракта, распространенность которых значительно увеличилась за последние 5 лет. По всем половозрастным группам детей распространенность избыточной массы тела и ожирения в среднем составляют 19,9% и 5,6% соответственно.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1.2. В настоящих методических рекомендациях представлены основные принципы и рекомендации при организации питания детских коллективов во время проведения массовых мероприятий, в том числе репетиций с участием детей (далее - методические рекомендации).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1.3. Методические рекомендации могут быть использованы органами и организациями, осуществляющими федеральный государственный санитарно-эпидемиологический надзор, а также организаторами культурно-массовых и спортивных мероприятий с участием детских коллективов.</w:t>
      </w:r>
    </w:p>
    <w:p w:rsidR="00B418D8" w:rsidRDefault="00B418D8">
      <w:pPr>
        <w:pStyle w:val="ConsPlusNormal"/>
        <w:jc w:val="both"/>
      </w:pPr>
    </w:p>
    <w:p w:rsidR="00B418D8" w:rsidRDefault="00B418D8">
      <w:pPr>
        <w:pStyle w:val="ConsPlusTitle"/>
        <w:jc w:val="center"/>
        <w:outlineLvl w:val="1"/>
      </w:pPr>
      <w:r>
        <w:t>II. Принципы и рекомендации при организации питания</w:t>
      </w:r>
    </w:p>
    <w:p w:rsidR="00B418D8" w:rsidRDefault="00B418D8">
      <w:pPr>
        <w:pStyle w:val="ConsPlusTitle"/>
        <w:jc w:val="center"/>
      </w:pPr>
      <w:r>
        <w:t>детей при проведении культурно-массовых мероприятий</w:t>
      </w:r>
    </w:p>
    <w:p w:rsidR="00B418D8" w:rsidRDefault="00B418D8">
      <w:pPr>
        <w:pStyle w:val="ConsPlusTitle"/>
        <w:jc w:val="center"/>
      </w:pPr>
      <w:r>
        <w:t>и их репетиций</w:t>
      </w:r>
    </w:p>
    <w:p w:rsidR="00B418D8" w:rsidRDefault="00B418D8">
      <w:pPr>
        <w:pStyle w:val="ConsPlusNormal"/>
        <w:jc w:val="both"/>
      </w:pPr>
    </w:p>
    <w:p w:rsidR="00B418D8" w:rsidRDefault="00B418D8">
      <w:pPr>
        <w:pStyle w:val="ConsPlusNormal"/>
        <w:ind w:firstLine="540"/>
        <w:jc w:val="both"/>
      </w:pPr>
      <w:r>
        <w:t>2.1. К общим принципам здорового питания детей относятся: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а) адекватная энергетическая ценность рационов, соответствующая энергозатратам детей;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 xml:space="preserve">б) сбалансированность рациона по всем заменимым и незаменимым пищевым факторам, включая белки и аминокислоты, пищевые жиры и жирные кислоты, витамины, минеральные соли </w:t>
      </w:r>
      <w:r>
        <w:lastRenderedPageBreak/>
        <w:t>и микроэлементы;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в) максимальное разнообразие рациона, являющееся основным условием обеспечения его сбалансированности;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г) оптимальный режим питания;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д) технологическая и кулинарная обработка продуктов и блюд, обеспечивающая их высокие вкусовые достоинства и сохранность исходной пищевой ценности;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е) учет индивидуальных особенностей детей (в т.ч. непереносимость ими отдельных продуктов и блюд);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ж) обеспечение санитарно-эпидемиологической безопасности питания, включая соблюдение всех санитарных требований: к состоянию пищеблока, поставляемым продуктам питания, их транспортировке, хранению, приготовлению и раздаче блюд.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2.2. Детям не рекомендуются продукты и блюда, содержащие облигатные аллергены, эфирные масла, значительное количество соли и жира, в частности, копченые колбасы, закусочные консервы, жирные сорта говядины, баранины и свинины, некоторые специи (черный перец, хрен, горчица).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2.3. Среднесуточный рацион питания должен удовлетворять физиологическим потребностям детей всех возрастных групп &lt;1&gt; в энергии и пищевых веществах.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 xml:space="preserve">&lt;1&gt; Методические рекомендации </w:t>
      </w:r>
      <w:hyperlink r:id="rId5" w:history="1">
        <w:r>
          <w:rPr>
            <w:color w:val="0000FF"/>
          </w:rPr>
          <w:t>МР 2.3.1.2432-08</w:t>
        </w:r>
      </w:hyperlink>
      <w:r>
        <w:t xml:space="preserve"> "Нормы физиологических потребностей в энергии и пищевых веществах для различных групп населения Российской Федерации", утв.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18.12.2008.</w:t>
      </w:r>
    </w:p>
    <w:p w:rsidR="00B418D8" w:rsidRDefault="00B418D8">
      <w:pPr>
        <w:pStyle w:val="ConsPlusNormal"/>
        <w:jc w:val="both"/>
      </w:pPr>
    </w:p>
    <w:p w:rsidR="00B418D8" w:rsidRDefault="00B418D8">
      <w:pPr>
        <w:pStyle w:val="ConsPlusNormal"/>
        <w:ind w:firstLine="540"/>
        <w:jc w:val="both"/>
      </w:pPr>
      <w:r>
        <w:t>2.4. При организации питания детей следует учитывать основные медико-биологические требования: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а) рацион должен состоять из горячего завтрака и обеда и обеспечивать 20 - 25% и 30 - 35% суточной потребности в энергии соответственно, а по содержанию белков, жиров, углеводов, витаминов, минеральных солей и микроэлементов завтрак и обед в сумме должны обеспечивать 55 - 60% рекомендуемых суточных физиологических норм потребности;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б) рационы должны быть дифференцированы по своей энергетической ценности, содержанию белков, жиров, углеводов, витаминов, минеральных солей и микроэлементов в зависимости от возраста детей (для 7 - 10 лет и 11 - 18 лет);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в) необходимо соблюдение режима питания.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2.5. В примерном меню должно учитываться рациональное распределение энергетической ценности по отдельным приемам пищи.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 xml:space="preserve">Рекомендуемое потребление белков, жиров, углеводов, витаминов и минеральных веществ (завтрак, обед) в организованных коллективах детьми 7 - 18 лет должно составлять 55 - 60% от суточной потребности </w:t>
      </w:r>
      <w:hyperlink w:anchor="P54" w:history="1">
        <w:r>
          <w:rPr>
            <w:color w:val="0000FF"/>
          </w:rPr>
          <w:t>(таблица)</w:t>
        </w:r>
      </w:hyperlink>
      <w:r>
        <w:t>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При увеличении умственных и физических нагрузок допускается увеличение калорийности рационов питания детей в соответствии с нагрузками.</w:t>
      </w:r>
    </w:p>
    <w:p w:rsidR="00B418D8" w:rsidRDefault="00B418D8">
      <w:pPr>
        <w:pStyle w:val="ConsPlusNormal"/>
        <w:jc w:val="both"/>
      </w:pPr>
    </w:p>
    <w:p w:rsidR="00B418D8" w:rsidRDefault="00B418D8">
      <w:pPr>
        <w:pStyle w:val="ConsPlusNormal"/>
        <w:jc w:val="right"/>
        <w:outlineLvl w:val="2"/>
      </w:pPr>
      <w:r>
        <w:t>Таблица</w:t>
      </w:r>
    </w:p>
    <w:p w:rsidR="00B418D8" w:rsidRDefault="00B418D8">
      <w:pPr>
        <w:pStyle w:val="ConsPlusNormal"/>
        <w:jc w:val="both"/>
      </w:pPr>
    </w:p>
    <w:p w:rsidR="00B418D8" w:rsidRDefault="00B418D8">
      <w:pPr>
        <w:pStyle w:val="ConsPlusTitle"/>
        <w:jc w:val="center"/>
      </w:pPr>
      <w:bookmarkStart w:id="0" w:name="P54"/>
      <w:bookmarkEnd w:id="0"/>
      <w:r>
        <w:t>Распределение в процентном отношении потребления</w:t>
      </w:r>
    </w:p>
    <w:p w:rsidR="00B418D8" w:rsidRDefault="00B418D8">
      <w:pPr>
        <w:pStyle w:val="ConsPlusTitle"/>
        <w:jc w:val="center"/>
      </w:pPr>
      <w:r>
        <w:t>энергии по приемам пищи детьми 7 - 18 лет, обучающихся</w:t>
      </w:r>
    </w:p>
    <w:p w:rsidR="00B418D8" w:rsidRDefault="00B418D8">
      <w:pPr>
        <w:pStyle w:val="ConsPlusTitle"/>
        <w:jc w:val="center"/>
      </w:pPr>
      <w:r>
        <w:t>в организованных коллективах</w:t>
      </w:r>
    </w:p>
    <w:p w:rsidR="00B418D8" w:rsidRDefault="00B418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418D8">
        <w:tc>
          <w:tcPr>
            <w:tcW w:w="4535" w:type="dxa"/>
          </w:tcPr>
          <w:p w:rsidR="00B418D8" w:rsidRDefault="00B418D8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4535" w:type="dxa"/>
          </w:tcPr>
          <w:p w:rsidR="00B418D8" w:rsidRDefault="00B418D8">
            <w:pPr>
              <w:pStyle w:val="ConsPlusNormal"/>
              <w:jc w:val="center"/>
            </w:pPr>
            <w:r>
              <w:t xml:space="preserve">Доля суточной потребности в энергии </w:t>
            </w:r>
            <w:hyperlink w:anchor="P68" w:history="1">
              <w:r>
                <w:rPr>
                  <w:color w:val="0000FF"/>
                </w:rPr>
                <w:t>&lt;*&gt;</w:t>
              </w:r>
            </w:hyperlink>
            <w:r>
              <w:t>, %</w:t>
            </w:r>
          </w:p>
        </w:tc>
      </w:tr>
      <w:tr w:rsidR="00B418D8">
        <w:tc>
          <w:tcPr>
            <w:tcW w:w="4535" w:type="dxa"/>
          </w:tcPr>
          <w:p w:rsidR="00B418D8" w:rsidRDefault="00B418D8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4535" w:type="dxa"/>
          </w:tcPr>
          <w:p w:rsidR="00B418D8" w:rsidRDefault="00B418D8">
            <w:pPr>
              <w:pStyle w:val="ConsPlusNormal"/>
              <w:jc w:val="center"/>
            </w:pPr>
            <w:r>
              <w:t>20 - 25</w:t>
            </w:r>
          </w:p>
        </w:tc>
      </w:tr>
      <w:tr w:rsidR="00B418D8">
        <w:tc>
          <w:tcPr>
            <w:tcW w:w="4535" w:type="dxa"/>
          </w:tcPr>
          <w:p w:rsidR="00B418D8" w:rsidRDefault="00B418D8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4535" w:type="dxa"/>
          </w:tcPr>
          <w:p w:rsidR="00B418D8" w:rsidRDefault="00B418D8">
            <w:pPr>
              <w:pStyle w:val="ConsPlusNormal"/>
              <w:jc w:val="center"/>
            </w:pPr>
            <w:r>
              <w:t>30 - 35</w:t>
            </w:r>
          </w:p>
        </w:tc>
      </w:tr>
      <w:tr w:rsidR="00B418D8">
        <w:tc>
          <w:tcPr>
            <w:tcW w:w="4535" w:type="dxa"/>
          </w:tcPr>
          <w:p w:rsidR="00B418D8" w:rsidRDefault="00B418D8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4535" w:type="dxa"/>
          </w:tcPr>
          <w:p w:rsidR="00B418D8" w:rsidRDefault="00B418D8">
            <w:pPr>
              <w:pStyle w:val="ConsPlusNormal"/>
              <w:jc w:val="center"/>
            </w:pPr>
            <w:r>
              <w:t>10</w:t>
            </w:r>
          </w:p>
        </w:tc>
      </w:tr>
      <w:tr w:rsidR="00B418D8">
        <w:tc>
          <w:tcPr>
            <w:tcW w:w="4535" w:type="dxa"/>
          </w:tcPr>
          <w:p w:rsidR="00B418D8" w:rsidRDefault="00B418D8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4535" w:type="dxa"/>
          </w:tcPr>
          <w:p w:rsidR="00B418D8" w:rsidRDefault="00B418D8">
            <w:pPr>
              <w:pStyle w:val="ConsPlusNormal"/>
              <w:jc w:val="center"/>
            </w:pPr>
            <w:r>
              <w:t>25 - 30</w:t>
            </w:r>
          </w:p>
        </w:tc>
      </w:tr>
      <w:tr w:rsidR="00B418D8">
        <w:tc>
          <w:tcPr>
            <w:tcW w:w="9070" w:type="dxa"/>
            <w:gridSpan w:val="2"/>
          </w:tcPr>
          <w:p w:rsidR="00B418D8" w:rsidRDefault="00B418D8">
            <w:pPr>
              <w:pStyle w:val="ConsPlusNormal"/>
              <w:jc w:val="both"/>
            </w:pPr>
            <w:bookmarkStart w:id="1" w:name="P68"/>
            <w:bookmarkEnd w:id="1"/>
            <w:r>
              <w:t>&lt;*&gt; Рекомендуемое потребление белков, жиров, углеводов, витаминов и минеральных веществ детьми (завтрак, обед) должно составлять 55 - 60% от суточной потребности.</w:t>
            </w:r>
          </w:p>
        </w:tc>
      </w:tr>
    </w:tbl>
    <w:p w:rsidR="00B418D8" w:rsidRDefault="00B418D8">
      <w:pPr>
        <w:pStyle w:val="ConsPlusNormal"/>
        <w:jc w:val="both"/>
      </w:pPr>
    </w:p>
    <w:p w:rsidR="00B418D8" w:rsidRDefault="00B418D8">
      <w:pPr>
        <w:pStyle w:val="ConsPlusNormal"/>
        <w:ind w:firstLine="540"/>
        <w:jc w:val="both"/>
      </w:pPr>
      <w:r>
        <w:t>2.6. Обязательные требования к организации питания детей в организованных коллективах установлены санитарно-эпидемиологическими правилами &lt;2&gt;, соблюдение требований которых обеспечивает санитарно-микробиологическую и санитарно-химическую безопасность питания детей в организованных коллективах и пищевую ценность рациона, достаточную для нормального развития организма ребенка.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 xml:space="preserve">&lt;2&gt; Санитарно-эпидемиологические правила и нормативы </w:t>
      </w:r>
      <w:hyperlink r:id="rId6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Российской Федерации от 15.05.2013 N 26 (зарегистрировано Минюстом России 29.05.2013, регистрационный номер 28564), с изменениями, внесенными постановлениями Главного государственного санитарного врача Российской Федерации от 20.07.2015 N 28 (зарегистрировано Минюстом России 03.08.2015, регистрационный номер 38312); от 27.08.2015 N 41 (зарегистрировано Минюстом России 04.09.2015, регистрационный номер 38824) и санитарно-эпидемиологические правила и нормативы </w:t>
      </w:r>
      <w:hyperlink r:id="rId7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утвержденные постановлением Главного государственного санитарного врача Российской Федерации от 23.07.2008 N 45 (зарегистрировано Минюстом России 07.08.2008, регистрационный номер 12085).</w:t>
      </w:r>
    </w:p>
    <w:p w:rsidR="00B418D8" w:rsidRDefault="00B418D8">
      <w:pPr>
        <w:pStyle w:val="ConsPlusNormal"/>
        <w:jc w:val="both"/>
      </w:pPr>
    </w:p>
    <w:p w:rsidR="00B418D8" w:rsidRDefault="00B418D8">
      <w:pPr>
        <w:pStyle w:val="ConsPlusNormal"/>
        <w:ind w:firstLine="540"/>
        <w:jc w:val="both"/>
      </w:pPr>
      <w:r>
        <w:t>2.7. Продукты, используемые в питании детей в детских организованных коллективах, должны быть качественными, безопасными и соответствовать требованиям законодательства Российской Федерации (технических регламентов). Питание должно быть щадящим как по способу приготовления (ограничение жареных блюд), так и по своему химическому составу (ограничение пищевых добавок, поваренной соли, специй и др.).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2.8. При репетициях культурно-массовых мероприятий и проведении данных мероприятий более 4 часов с участием детских коллективов с учетом времени в пути к/от места проведения мероприятия и отсутствии стационарных пунктов питания необходимо организовывать мобильное питание детей (ланч-бокс) в соответствии с возрастом детей.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Мобильное питание детей (ланч-бокс) не может заменять горячее питание.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lastRenderedPageBreak/>
        <w:t xml:space="preserve">2.9. Рекомендуемый ассортимент основных пищевых продуктов для использования в питании детских коллективов при проведении массовых мероприятий и их репетиций с участием детских коллективов (ланч-бокс) приведен в </w:t>
      </w:r>
      <w:hyperlink w:anchor="P86" w:history="1">
        <w:r>
          <w:rPr>
            <w:color w:val="0000FF"/>
          </w:rPr>
          <w:t>приложении</w:t>
        </w:r>
      </w:hyperlink>
      <w:r>
        <w:t xml:space="preserve"> к настоящим методическим рекомендациям.</w:t>
      </w:r>
    </w:p>
    <w:p w:rsidR="00B418D8" w:rsidRDefault="00B418D8">
      <w:pPr>
        <w:pStyle w:val="ConsPlusNormal"/>
        <w:jc w:val="both"/>
      </w:pPr>
    </w:p>
    <w:p w:rsidR="00B418D8" w:rsidRDefault="00B418D8">
      <w:pPr>
        <w:pStyle w:val="ConsPlusNormal"/>
        <w:jc w:val="both"/>
      </w:pPr>
    </w:p>
    <w:p w:rsidR="00B418D8" w:rsidRDefault="00B418D8">
      <w:pPr>
        <w:pStyle w:val="ConsPlusNormal"/>
        <w:jc w:val="both"/>
      </w:pPr>
    </w:p>
    <w:p w:rsidR="00B418D8" w:rsidRDefault="00B418D8">
      <w:pPr>
        <w:pStyle w:val="ConsPlusNormal"/>
        <w:jc w:val="both"/>
      </w:pPr>
    </w:p>
    <w:p w:rsidR="00B418D8" w:rsidRDefault="00B418D8">
      <w:pPr>
        <w:pStyle w:val="ConsPlusNormal"/>
        <w:jc w:val="both"/>
      </w:pPr>
    </w:p>
    <w:p w:rsidR="00B418D8" w:rsidRDefault="00B418D8">
      <w:pPr>
        <w:pStyle w:val="ConsPlusNormal"/>
        <w:jc w:val="right"/>
        <w:outlineLvl w:val="0"/>
      </w:pPr>
      <w:r>
        <w:t>Приложение</w:t>
      </w:r>
    </w:p>
    <w:p w:rsidR="00B418D8" w:rsidRDefault="00B418D8">
      <w:pPr>
        <w:pStyle w:val="ConsPlusNormal"/>
        <w:jc w:val="right"/>
      </w:pPr>
      <w:r>
        <w:t>МР 2.4.5.0128-18</w:t>
      </w:r>
    </w:p>
    <w:p w:rsidR="00B418D8" w:rsidRDefault="00B418D8">
      <w:pPr>
        <w:pStyle w:val="ConsPlusNormal"/>
        <w:jc w:val="right"/>
      </w:pPr>
    </w:p>
    <w:p w:rsidR="00B418D8" w:rsidRDefault="00B418D8">
      <w:pPr>
        <w:pStyle w:val="ConsPlusTitle"/>
        <w:jc w:val="center"/>
      </w:pPr>
      <w:bookmarkStart w:id="2" w:name="P86"/>
      <w:bookmarkEnd w:id="2"/>
      <w:r>
        <w:t>РЕКОМЕНДУЕМЫЙ АССОРТИМЕНТ</w:t>
      </w:r>
    </w:p>
    <w:p w:rsidR="00B418D8" w:rsidRDefault="00B418D8">
      <w:pPr>
        <w:pStyle w:val="ConsPlusTitle"/>
        <w:jc w:val="center"/>
      </w:pPr>
      <w:r>
        <w:t>ОСНОВНЫХ ПИЩЕВЫХ ПРОДУКТОВ ДЛЯ ИСПОЛЬЗОВАНИЯ В ПИТАНИИ</w:t>
      </w:r>
    </w:p>
    <w:p w:rsidR="00B418D8" w:rsidRDefault="00B418D8">
      <w:pPr>
        <w:pStyle w:val="ConsPlusTitle"/>
        <w:jc w:val="center"/>
      </w:pPr>
      <w:r>
        <w:t>ДЕТСКИХ КОЛЛЕКТИВОВ ПРИ ПРОВЕДЕНИИ МАССОВЫХ МЕРОПРИЯТИЙ</w:t>
      </w:r>
    </w:p>
    <w:p w:rsidR="00B418D8" w:rsidRDefault="00B418D8">
      <w:pPr>
        <w:pStyle w:val="ConsPlusTitle"/>
        <w:jc w:val="center"/>
      </w:pPr>
      <w:r>
        <w:t>И РЕПЕТИЦИЙ С УЧАСТИЕМ ДЕТСКИХ КОЛЛЕКТИВОВ (ЛАНЧ-БОКС)</w:t>
      </w:r>
    </w:p>
    <w:p w:rsidR="00B418D8" w:rsidRDefault="00B418D8">
      <w:pPr>
        <w:pStyle w:val="ConsPlusTitle"/>
        <w:jc w:val="center"/>
      </w:pPr>
      <w:r>
        <w:t>&lt;3&gt;, &lt;4&gt;, &lt;5&gt;</w:t>
      </w:r>
    </w:p>
    <w:p w:rsidR="00B418D8" w:rsidRDefault="00B418D8">
      <w:pPr>
        <w:pStyle w:val="ConsPlusNormal"/>
        <w:ind w:firstLine="540"/>
        <w:jc w:val="both"/>
      </w:pPr>
    </w:p>
    <w:p w:rsidR="00B418D8" w:rsidRDefault="00B418D8">
      <w:pPr>
        <w:pStyle w:val="ConsPlusNormal"/>
        <w:ind w:firstLine="540"/>
        <w:jc w:val="both"/>
      </w:pPr>
      <w:r>
        <w:t>--------------------------------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&lt;3&gt; Не допускается стеклянная тара (упаковка) продуктов.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&lt;4&gt; При проведении массовых мероприятий каждый ребенок обеспечивается дополнительно бутилированной питьевой водой (негазированной) промышленного производства из расчета не менее 1,5 л на одного человека при наличии документов, подтверждающих ее безопасность и качество.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&lt;5&gt; В ланч-бокс также должны быть помещены влажные салфетки в индивидуальной упаковке.</w:t>
      </w:r>
    </w:p>
    <w:p w:rsidR="00B418D8" w:rsidRDefault="00B418D8">
      <w:pPr>
        <w:pStyle w:val="ConsPlusNormal"/>
        <w:ind w:firstLine="540"/>
        <w:jc w:val="both"/>
      </w:pPr>
    </w:p>
    <w:p w:rsidR="00B418D8" w:rsidRDefault="00B418D8">
      <w:pPr>
        <w:pStyle w:val="ConsPlusNormal"/>
        <w:ind w:firstLine="540"/>
        <w:jc w:val="both"/>
      </w:pPr>
      <w:r>
        <w:t>1. Фрукты свежие (яблоки, груши, мандарины, апельсины, бананы и др.), предварительно вымытые - поштучно в упаковке из полимерных материалов, разрешенных для контакта с пищевыми продуктами.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2. Вода питьевая, расфасованная в емкости (бутилированная), негазированная - в потребительской упаковке промышленного изготовления, объемом до 500 мл.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3. Соковая продукция из фруктов и овощей - в потребительской упаковке промышленного изготовления, объемом до 500 мл с возможностью хранения при комнатной температуре.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4. Молоко стерилизованное и (или) стерилизованные молочные напитки (2,5% и 3,5% жирности) в ассортименте - в потребительской упаковке промышленного изготовления, объемом до 500 мл с возможностью хранения при комнатной температуре.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5. Хлебобулочные и кондитерские изделия без крема (возможны овощные и фруктовые начинки):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-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г;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- изделия хлебобулочные слоеные в ассортименте в упаковке промышленной индивидуальной, расфасованные до 150 г;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- сухари, сушки, пряники в вакуумной упаковке промышленного производства, расфасованные по 150 - 300 г;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 xml:space="preserve">- печенье, вафли в ассортименте в вакуумной упаковке промышленного производства для </w:t>
      </w:r>
      <w:r>
        <w:lastRenderedPageBreak/>
        <w:t>одноразового использования с возможностью длительного хранения при комнатной температуре, расфасованные по 25 - 50 - 100 г;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- кексы в упаковке промышленной индивидуальной, расфасованные по 50 - 75 г;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- коржи молочные в упаковке промышленной индивидуальной, расфасованные по 50 - 100 г, и другие изделия.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6. Орехи (кроме арахиса и абрикосовых косточек), сухофрукты в ассортименте - в потребительской упаковке весом до 50 г.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7. Кондитерские изделия сахарные (ирис тираженный, зефир, кондитерские батончики, конфеты, кроме карамели), в т.ч. обогащенные микронутриентами (витаминизированные), шоколад в ассортименте - в потребительской упаковке весом до 100 г в индивидуальной упаковке.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8. Сырок плавленый в промышленной упаковке весом 25 - 50 г.</w:t>
      </w:r>
    </w:p>
    <w:p w:rsidR="00B418D8" w:rsidRDefault="00B418D8">
      <w:pPr>
        <w:pStyle w:val="ConsPlusNormal"/>
        <w:spacing w:before="220"/>
        <w:ind w:firstLine="540"/>
        <w:jc w:val="both"/>
      </w:pPr>
      <w:r>
        <w:t>9. Фруктовые, овощные, мясные пюре промышленного производства для одноразового использования с возможностью длительного хранения при комнатной температуре, расфасованные по 100 - 150 - 200 г.</w:t>
      </w:r>
    </w:p>
    <w:p w:rsidR="00B418D8" w:rsidRDefault="00B418D8">
      <w:pPr>
        <w:pStyle w:val="ConsPlusNormal"/>
        <w:ind w:firstLine="540"/>
        <w:jc w:val="both"/>
      </w:pPr>
    </w:p>
    <w:p w:rsidR="00B418D8" w:rsidRDefault="00B418D8">
      <w:pPr>
        <w:pStyle w:val="ConsPlusNormal"/>
        <w:ind w:firstLine="540"/>
        <w:jc w:val="both"/>
      </w:pPr>
      <w:r>
        <w:t>Методические рекомендации разработаны Федеральной службой по надзору в сфере защиты прав потребителей и благополучия человека (И.В. Брагина, Г.В. Яновская), ФБУН "Новосибирский НИИ гигиены" Роспотребнадзора (И.И. Новикова), ФГБУН "ФИЦ питания, биотехнологии и безопасности питания" (Д.Б. Никитюк, Е.А. Пырьева, М.В. Гмошинская).</w:t>
      </w:r>
    </w:p>
    <w:p w:rsidR="00B418D8" w:rsidRDefault="00B418D8">
      <w:pPr>
        <w:pStyle w:val="ConsPlusNormal"/>
        <w:ind w:firstLine="540"/>
        <w:jc w:val="both"/>
      </w:pPr>
    </w:p>
    <w:p w:rsidR="00B418D8" w:rsidRDefault="00B418D8">
      <w:pPr>
        <w:pStyle w:val="ConsPlusNormal"/>
        <w:jc w:val="both"/>
      </w:pPr>
    </w:p>
    <w:p w:rsidR="00B418D8" w:rsidRDefault="00B418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041" w:rsidRDefault="00BF1041">
      <w:bookmarkStart w:id="3" w:name="_GoBack"/>
      <w:bookmarkEnd w:id="3"/>
    </w:p>
    <w:sectPr w:rsidR="00BF1041" w:rsidSect="00CA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D8"/>
    <w:rsid w:val="00B418D8"/>
    <w:rsid w:val="00B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A647B-DD2D-4979-BD11-4C6A492A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1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BB707F8E1526F111C5D84119973F26B5246917266090E07FCF1EC2CEB0836BF92EFFB00BBDAED31A6659A58D683AFBEEA3A8669139B477kC3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B707F8E1526F111C5D84119973F26B72E6E102B6290E07FCF1EC2CEB0836BF92EFFB00BBDAADB186659A58D683AFBEEA3A8669139B477kC38I" TargetMode="External"/><Relationship Id="rId5" Type="http://schemas.openxmlformats.org/officeDocument/2006/relationships/hyperlink" Target="consultantplus://offline/ref=84BB707F8E1526F111C5D84119973F26B7266D112C6C90E07FCF1EC2CEB0836BF92EFFB00BBDAED21C6659A58D683AFBEEA3A8669139B477kC3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Ольга Каштанова</cp:lastModifiedBy>
  <cp:revision>1</cp:revision>
  <dcterms:created xsi:type="dcterms:W3CDTF">2019-09-12T08:55:00Z</dcterms:created>
  <dcterms:modified xsi:type="dcterms:W3CDTF">2019-09-12T08:55:00Z</dcterms:modified>
</cp:coreProperties>
</file>